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10174.xml.htm"/>
      <w:bookmarkStart w:id="1" w:name="kswkform4_17895101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Dobres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PAGAYA TECHNOLOGIES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 MADISON AVENUE,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Pagaya Technologies Ltd.</w:t>
              </w:r>
            </w:hyperlink>
            <w:r>
              <w:rPr/>
              <w:t xml:space="preserve"> [ </w:t>
            </w:r>
            <w:r>
              <w:rPr>
                <w:rFonts w:ascii="Times;serif" w:hAnsi="Times;serif"/>
                <w:color w:val="0000FF"/>
                <w:sz w:val="24"/>
                <w:shd w:fill="FFFFFF" w:val="clear"/>
              </w:rPr>
              <w:t>PGY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53"/>
        <w:gridCol w:w="459"/>
        <w:gridCol w:w="759"/>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7,426</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15.48</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7,023</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09/12/2026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8,148</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20.21</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7,566</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securities was necessary to satisfy tax withholding obligations arising exclusively from the vesting of a compensatory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1, 2026, the reporting person was granted 8,929 restricted stock units, vesting in eight equal quarterly installments beginning on June 25, 2026. This transaction is being reported late due to an inadvertent administrative error and not any error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13, 2025, the reporting person was granted 9,000 restricted stock units, vesting in eight equal quarterly installments beginning on June 12,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Watson,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297" TargetMode="External"/><Relationship Id="rId5" Type="http://schemas.openxmlformats.org/officeDocument/2006/relationships/hyperlink" Target="http://www.sec.gov/cgi-bin/browse-edgar?action=getcompany&amp;CIK=0001883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3896</Characters>
  <CharactersWithSpaces>4505</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