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2026</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001-41430</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Pagaya Technologies Ltd.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6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98-1704718</w:t>
            </w:r>
          </w:p>
        </w:tc>
      </w:tr>
      <w:tr>
        <w:trPr>
          <w:trHeight w:val="234"/>
        </w:trPr>
        <w:tc>
          <w:tcPr>
            <w:tcW w:w="656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656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8"/>
              </w:rPr>
              <w:t>335 Madison Ave, 16th Floor</w:t>
            </w:r>
          </w:p>
        </w:tc>
        <w:tc>
          <w:tcPr>
            <w:tcW w:w="2800" w:type="dxa"/>
            <w:vAlign w:val="bottom"/>
          </w:tcPr>
          <w:p>
            <w:pPr>
              <w:spacing w:after="0"/>
              <w:rPr>
                <w:sz w:val="23"/>
                <w:szCs w:val="23"/>
                <w:color w:val="auto"/>
              </w:rPr>
            </w:pPr>
          </w:p>
        </w:tc>
      </w:tr>
      <w:tr>
        <w:trPr>
          <w:trHeight w:val="234"/>
        </w:trPr>
        <w:tc>
          <w:tcPr>
            <w:tcW w:w="656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656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r>
      <w:tr>
        <w:trPr>
          <w:trHeight w:val="252"/>
        </w:trPr>
        <w:tc>
          <w:tcPr>
            <w:tcW w:w="656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(646) 710-7714</w:t>
            </w:r>
          </w:p>
        </w:tc>
        <w:tc>
          <w:tcPr>
            <w:tcW w:w="2800" w:type="dxa"/>
            <w:vAlign w:val="bottom"/>
          </w:tcPr>
          <w:p>
            <w:pPr>
              <w:spacing w:after="0"/>
              <w:rPr>
                <w:sz w:val="21"/>
                <w:szCs w:val="21"/>
                <w:color w:val="auto"/>
              </w:rPr>
            </w:pPr>
          </w:p>
        </w:tc>
      </w:tr>
      <w:tr>
        <w:trPr>
          <w:trHeight w:val="234"/>
        </w:trPr>
        <w:tc>
          <w:tcPr>
            <w:tcW w:w="65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40"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9"/>
        </w:trPr>
        <w:tc>
          <w:tcPr>
            <w:tcW w:w="334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60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no par value</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PGY</w:t>
            </w:r>
          </w:p>
        </w:tc>
        <w:tc>
          <w:tcPr>
            <w:tcW w:w="80" w:type="dxa"/>
            <w:vAlign w:val="bottom"/>
          </w:tcPr>
          <w:p>
            <w:pPr>
              <w:spacing w:after="0"/>
              <w:rPr>
                <w:sz w:val="17"/>
                <w:szCs w:val="17"/>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Class A Ordinary Shares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PGYWW</w:t>
            </w:r>
          </w:p>
        </w:tc>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16" w:lineRule="exact"/>
        <w:rPr>
          <w:sz w:val="24"/>
          <w:szCs w:val="24"/>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Since December 26, 2025, Pagaya Technologies Ltd. (the “Company”) has repurchased approximately $6.9 million in aggregate principal amount of its outstanding 8.875% Senior Notes due 2030 (the “2030 Notes”) in several open market transactions (the “Repurchases”). The Company funded the Repurchases using cash from the balance sheet. The Company evaluated the Repurchases as part of its ongoing capital allocation strategy and determined that the Repurchases at such market prices represented an attractive use of capital, given the significant discount to par value.</w:t>
      </w:r>
    </w:p>
    <w:p>
      <w:pPr>
        <w:spacing w:after="0" w:line="208"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The Company may, from time to time, seek to make additional open market purchases. Such repurchases or other liability management exercises, if any, will be limited in size and made upon such terms and at such prices and sizes as the Company may determine, and will depend on prevailing market conditions, the Company’s liquidity requirements and other factors.</w:t>
      </w:r>
    </w:p>
    <w:p>
      <w:pPr>
        <w:spacing w:after="0" w:line="21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the purposes of Section 18 of the Securities Exchange Act of 1934, as amended, or otherwise subject to the liabilities of that Section, nor shall it be deemed incorporated by reference in any filing under the Securities Act of 1933 or the Securities Exchange Act of 1934, as amended, except as expressly set forth by specific reference in such a filing.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Private Securities Litigation Reform Act of 1995. These forward-looking statements include, but are not limited to, statements regarding any future plans to retire, restructure, repurchase or redeem any outstanding debt of the Company and any potential impacts thereof. The use of the words “anticipate,” “believe,” “estimate,” “expect,” “intend,” “may,” “will” and similar expressions are intended to identify forward-looking statements. The events described in the forward-looking statements are subject to a number of risks and uncertainties, assumptions and other factors that could cause actual results and the timing of certain events to differ materially from future results expressed or implied by the forward-looking statements. Each of these forward-looking statements involves risks and uncertainties. Actual results may differ materially from those expressed or implied by these forward-looking statements. For a discussion of risk factors that may cause the Company’s actual results to differ from those expressed or implied in the forward-looking statements in this Report, you should refer to the Company’s filings with the U.S. Securities and Exchange Commission, including the “Risk Factors” section contained therein. Except as required by law, the Company undertakes no obligation to publicly update any forward-looking statements, whether as a result of new information, future events or otherwise, except as required by law. You should, therefore, not rely on these forward-looking statements as representing the Company’s views as of any date subsequent to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1499870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PAGAYA TECHNOLOGIES LTD.</w:t>
            </w:r>
          </w:p>
        </w:tc>
      </w:tr>
      <w:tr>
        <w:trPr>
          <w:trHeight w:val="37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2026</w:t>
            </w: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Evangelos Perros</w:t>
            </w:r>
          </w:p>
        </w:tc>
      </w:tr>
      <w:tr>
        <w:trPr>
          <w:trHeight w:val="218"/>
        </w:trPr>
        <w:tc>
          <w:tcPr>
            <w:tcW w:w="3640" w:type="dxa"/>
            <w:vAlign w:val="bottom"/>
          </w:tcPr>
          <w:p>
            <w:pPr>
              <w:spacing w:after="0"/>
              <w:rPr>
                <w:sz w:val="18"/>
                <w:szCs w:val="18"/>
                <w:color w:val="auto"/>
              </w:rPr>
            </w:pP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Evangelos Perros</w:t>
            </w:r>
          </w:p>
        </w:tc>
      </w:tr>
      <w:tr>
        <w:trPr>
          <w:trHeight w:val="234"/>
        </w:trPr>
        <w:tc>
          <w:tcPr>
            <w:tcW w:w="3640" w:type="dxa"/>
            <w:vAlign w:val="bottom"/>
          </w:tcPr>
          <w:p>
            <w:pPr>
              <w:spacing w:after="0"/>
              <w:rPr>
                <w:sz w:val="20"/>
                <w:szCs w:val="20"/>
                <w:color w:val="auto"/>
              </w:rPr>
            </w:pP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2026-01-13T07:32:03Z</dcterms:created>
  <dcterms:modified xsi:type="dcterms:W3CDTF">2026-01-13T07:32:03Z</dcterms:modified>
</cp:coreProperties>
</file>