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508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952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Perros Evangelos</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00"/>
        <w:spacing w:after="0" w:line="328" w:lineRule="auto"/>
        <w:rPr>
          <w:sz w:val="20"/>
          <w:szCs w:val="20"/>
          <w:color w:val="auto"/>
        </w:rPr>
      </w:pPr>
      <w:r>
        <w:rPr>
          <w:rFonts w:ascii="Times New Roman" w:cs="Times New Roman" w:eastAsia="Times New Roman" w:hAnsi="Times New Roman"/>
          <w:sz w:val="16"/>
          <w:szCs w:val="16"/>
          <w:color w:val="0000FF"/>
        </w:rPr>
        <w:t>C/O PAGAYA TECHNOLOGIES LTD. 335 MADISON AVENUE,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Pagaya Technologies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PGY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10/01/2025</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8"/>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37"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8"/>
          </w:tcPr>
          <w:p>
            <w:pPr>
              <w:jc w:val="center"/>
              <w:ind w:right="52"/>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Arial" w:cs="Arial" w:eastAsia="Arial" w:hAnsi="Arial"/>
                <w:sz w:val="13"/>
                <w:szCs w:val="13"/>
                <w:color w:val="auto"/>
                <w:w w:val="89"/>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Ordinary Share</w:t>
            </w:r>
          </w:p>
        </w:tc>
        <w:tc>
          <w:tcPr>
            <w:tcW w:w="186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10/01/2025</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10/01/2025</w:t>
            </w: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4"/>
              </w:rPr>
              <w:t>22,766</w:t>
            </w: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2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90,917</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Ordinary Share</w:t>
            </w: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10/01/2025</w:t>
            </w:r>
          </w:p>
        </w:tc>
        <w:tc>
          <w:tcPr>
            <w:tcW w:w="9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10/01/2025</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4"/>
              </w:rPr>
              <w:t>12,754</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30.2</w:t>
            </w:r>
          </w:p>
        </w:tc>
        <w:tc>
          <w:tcPr>
            <w:tcW w:w="132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78,163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2"/>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8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22,766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5"/>
                <w:szCs w:val="5"/>
                <w:color w:val="auto"/>
              </w:rPr>
            </w:pPr>
          </w:p>
        </w:tc>
        <w:tc>
          <w:tcPr>
            <w:tcW w:w="10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10/01/2025</w:t>
            </w:r>
          </w:p>
        </w:tc>
        <w:tc>
          <w:tcPr>
            <w:tcW w:w="114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10/01/2025</w:t>
            </w:r>
          </w:p>
        </w:tc>
        <w:tc>
          <w:tcPr>
            <w:tcW w:w="100" w:type="dxa"/>
            <w:vAlign w:val="bottom"/>
          </w:tcPr>
          <w:p>
            <w:pPr>
              <w:spacing w:after="0"/>
              <w:rPr>
                <w:sz w:val="5"/>
                <w:szCs w:val="5"/>
                <w:color w:val="auto"/>
              </w:rPr>
            </w:pPr>
          </w:p>
        </w:tc>
        <w:tc>
          <w:tcPr>
            <w:tcW w:w="62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22,766</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4"/>
              </w:rPr>
              <w:t>113,828</w:t>
            </w:r>
          </w:p>
        </w:tc>
        <w:tc>
          <w:tcPr>
            <w:tcW w:w="260" w:type="dxa"/>
            <w:vAlign w:val="bottom"/>
          </w:tcPr>
          <w:p>
            <w:pPr>
              <w:spacing w:after="0"/>
              <w:rPr>
                <w:sz w:val="5"/>
                <w:szCs w:val="5"/>
                <w:color w:val="auto"/>
              </w:rPr>
            </w:pPr>
          </w:p>
        </w:tc>
        <w:tc>
          <w:tcPr>
            <w:tcW w:w="66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of securities was necessary to satisfy tax withholding obligations arising exclusively from the vesting of a compensatory award.</w:t>
      </w:r>
    </w:p>
    <w:p>
      <w:pPr>
        <w:spacing w:after="0" w:line="44" w:lineRule="exact"/>
        <w:rPr>
          <w:rFonts w:ascii="Times New Roman" w:cs="Times New Roman" w:eastAsia="Times New Roman" w:hAnsi="Times New Roman"/>
          <w:sz w:val="13"/>
          <w:szCs w:val="13"/>
          <w:color w:val="008000"/>
        </w:rPr>
      </w:pPr>
    </w:p>
    <w:p>
      <w:pPr>
        <w:ind w:left="40" w:right="6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1/6th of the total 273,224 restricted stock units subject to this award vest each on August 1, 2024 and January 1, 2025, and the remaining 2/3rd of the grant vests over the following 24 months in equal quarterly installments on April 1, 2025, July 1, 2025, October 1, 2025, January 1, 2026, April 1, 2026, July 1, 2026, October 1, 2026 and January 1, 2027.</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Natalie Wilmore,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10/03/2025</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8687" TargetMode="External"/><Relationship Id="rId14" Type="http://schemas.openxmlformats.org/officeDocument/2006/relationships/hyperlink" Target="http://www.sec.gov/cgi-bin/browse-edgar?action=getcompany&amp;CIK=00018830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2025-10-03T15:59:36Z</dcterms:created>
  <dcterms:modified xsi:type="dcterms:W3CDTF">2025-10-03T15:59:36Z</dcterms:modified>
</cp:coreProperties>
</file>